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25C" w:rsidRDefault="009B651C">
      <w:pPr>
        <w:spacing w:after="0" w:line="259" w:lineRule="auto"/>
        <w:ind w:left="0" w:right="5303" w:firstLine="0"/>
      </w:pPr>
      <w:r>
        <w:rPr>
          <w:sz w:val="20"/>
        </w:rPr>
        <w:t xml:space="preserve"> </w:t>
      </w:r>
    </w:p>
    <w:p w:rsidR="0017725C" w:rsidRDefault="009B651C">
      <w:pPr>
        <w:spacing w:after="0" w:line="259" w:lineRule="auto"/>
        <w:ind w:left="94" w:right="0" w:firstLine="0"/>
      </w:pPr>
      <w:r>
        <w:rPr>
          <w:noProof/>
        </w:rPr>
        <w:drawing>
          <wp:inline distT="0" distB="0" distL="0" distR="0">
            <wp:extent cx="2350105" cy="58039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010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25C" w:rsidRDefault="009B651C">
      <w:pPr>
        <w:spacing w:after="0" w:line="259" w:lineRule="auto"/>
        <w:ind w:left="0" w:right="122" w:firstLine="0"/>
      </w:pPr>
      <w:r>
        <w:rPr>
          <w:sz w:val="26"/>
        </w:rPr>
        <w:t xml:space="preserve"> </w:t>
      </w:r>
    </w:p>
    <w:tbl>
      <w:tblPr>
        <w:tblStyle w:val="TableGrid"/>
        <w:tblW w:w="8856" w:type="dxa"/>
        <w:tblInd w:w="120" w:type="dxa"/>
        <w:tblCellMar>
          <w:left w:w="118" w:type="dxa"/>
          <w:right w:w="84" w:type="dxa"/>
        </w:tblCellMar>
        <w:tblLook w:val="04A0" w:firstRow="1" w:lastRow="0" w:firstColumn="1" w:lastColumn="0" w:noHBand="0" w:noVBand="1"/>
      </w:tblPr>
      <w:tblGrid>
        <w:gridCol w:w="2539"/>
        <w:gridCol w:w="3780"/>
        <w:gridCol w:w="2537"/>
      </w:tblGrid>
      <w:tr w:rsidR="0017725C">
        <w:trPr>
          <w:trHeight w:val="737"/>
        </w:trPr>
        <w:tc>
          <w:tcPr>
            <w:tcW w:w="8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25C" w:rsidRDefault="009B651C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28"/>
              </w:rPr>
              <w:t xml:space="preserve">Environmental Health &amp; Safety Policy Manual </w:t>
            </w:r>
          </w:p>
        </w:tc>
      </w:tr>
      <w:tr w:rsidR="0017725C">
        <w:trPr>
          <w:trHeight w:val="360"/>
        </w:trPr>
        <w:tc>
          <w:tcPr>
            <w:tcW w:w="2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25C" w:rsidRDefault="009B651C">
            <w:pPr>
              <w:spacing w:after="0" w:line="259" w:lineRule="auto"/>
              <w:ind w:left="0" w:right="0" w:firstLine="0"/>
            </w:pPr>
            <w:r>
              <w:t xml:space="preserve">Issue Date: 10/22/2019 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25C" w:rsidRDefault="009B651C">
            <w:pPr>
              <w:spacing w:after="0" w:line="259" w:lineRule="auto"/>
              <w:ind w:left="590" w:right="0" w:firstLine="0"/>
            </w:pPr>
            <w:r>
              <w:t xml:space="preserve"> </w:t>
            </w:r>
          </w:p>
        </w:tc>
        <w:tc>
          <w:tcPr>
            <w:tcW w:w="2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25C" w:rsidRDefault="009B651C" w:rsidP="0075587E">
            <w:pPr>
              <w:spacing w:after="0" w:line="259" w:lineRule="auto"/>
              <w:ind w:left="60" w:right="0" w:firstLine="0"/>
            </w:pPr>
            <w:r>
              <w:t>Policy # EHS-200.</w:t>
            </w:r>
            <w:r w:rsidR="0075587E">
              <w:t>10</w:t>
            </w:r>
            <w:r>
              <w:t xml:space="preserve"> </w:t>
            </w:r>
          </w:p>
        </w:tc>
      </w:tr>
      <w:tr w:rsidR="0017725C">
        <w:trPr>
          <w:trHeight w:val="739"/>
        </w:trPr>
        <w:tc>
          <w:tcPr>
            <w:tcW w:w="8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725C" w:rsidRDefault="009B651C">
            <w:pPr>
              <w:spacing w:after="0" w:line="259" w:lineRule="auto"/>
              <w:ind w:left="198" w:right="0" w:firstLine="0"/>
              <w:jc w:val="center"/>
            </w:pPr>
            <w:r>
              <w:rPr>
                <w:b/>
              </w:rPr>
              <w:t xml:space="preserve">Laboratory Safety Committee Charter </w:t>
            </w:r>
          </w:p>
        </w:tc>
      </w:tr>
    </w:tbl>
    <w:p w:rsidR="0017725C" w:rsidRDefault="009B651C">
      <w:pPr>
        <w:spacing w:after="0" w:line="259" w:lineRule="auto"/>
        <w:ind w:left="0" w:right="122" w:firstLine="0"/>
      </w:pPr>
      <w:r>
        <w:rPr>
          <w:sz w:val="20"/>
        </w:rPr>
        <w:t xml:space="preserve"> </w:t>
      </w:r>
    </w:p>
    <w:p w:rsidR="0017725C" w:rsidRDefault="009B651C">
      <w:pPr>
        <w:spacing w:after="130" w:line="259" w:lineRule="auto"/>
        <w:ind w:left="0" w:right="0" w:firstLine="0"/>
      </w:pPr>
      <w:r>
        <w:rPr>
          <w:sz w:val="18"/>
        </w:rPr>
        <w:t xml:space="preserve"> </w:t>
      </w:r>
    </w:p>
    <w:p w:rsidR="0017725C" w:rsidRDefault="009B651C">
      <w:pPr>
        <w:tabs>
          <w:tab w:val="center" w:pos="390"/>
          <w:tab w:val="center" w:pos="1558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1.0 </w:t>
      </w:r>
      <w:r>
        <w:rPr>
          <w:b/>
        </w:rPr>
        <w:tab/>
        <w:t xml:space="preserve">PURPOSE: </w:t>
      </w:r>
    </w:p>
    <w:p w:rsidR="0017725C" w:rsidRDefault="009B651C">
      <w:pPr>
        <w:spacing w:after="0" w:line="259" w:lineRule="auto"/>
        <w:ind w:left="0" w:right="0" w:firstLine="0"/>
      </w:pPr>
      <w:r>
        <w:rPr>
          <w:b/>
          <w:sz w:val="23"/>
        </w:rPr>
        <w:t xml:space="preserve"> </w:t>
      </w:r>
    </w:p>
    <w:p w:rsidR="0017725C" w:rsidRDefault="009B651C">
      <w:pPr>
        <w:ind w:left="955"/>
      </w:pPr>
      <w:r>
        <w:t xml:space="preserve">This charter document defines the membership and responsibilities of the Laboratory Safety Committee at Louisiana State University Health Sciences Center New Orleans. </w:t>
      </w:r>
    </w:p>
    <w:p w:rsidR="0017725C" w:rsidRDefault="009B651C">
      <w:pPr>
        <w:spacing w:after="0" w:line="259" w:lineRule="auto"/>
        <w:ind w:left="0" w:right="0" w:firstLine="0"/>
      </w:pPr>
      <w:r>
        <w:t xml:space="preserve"> </w:t>
      </w:r>
    </w:p>
    <w:p w:rsidR="0017725C" w:rsidRDefault="009B651C">
      <w:pPr>
        <w:tabs>
          <w:tab w:val="center" w:pos="388"/>
          <w:tab w:val="center" w:pos="1397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2.0 </w:t>
      </w:r>
      <w:r>
        <w:rPr>
          <w:b/>
        </w:rPr>
        <w:tab/>
        <w:t xml:space="preserve">SCOPE: </w:t>
      </w:r>
    </w:p>
    <w:p w:rsidR="0017725C" w:rsidRDefault="009B651C">
      <w:pPr>
        <w:spacing w:after="0" w:line="259" w:lineRule="auto"/>
        <w:ind w:left="0" w:right="0" w:firstLine="0"/>
      </w:pPr>
      <w:r>
        <w:rPr>
          <w:b/>
          <w:sz w:val="23"/>
        </w:rPr>
        <w:t xml:space="preserve"> </w:t>
      </w:r>
    </w:p>
    <w:p w:rsidR="0017725C" w:rsidRDefault="009B651C">
      <w:pPr>
        <w:ind w:left="955"/>
      </w:pPr>
      <w:r>
        <w:t xml:space="preserve">The Committee is charged with fostering and ensuring a culture of laboratory safety on campus.  The Committee will assess the adequacy of existing training and other protections related to laboratory safety; and ensure the university’s compliance with federal and state regulations and University policies regarding laboratory activities.   </w:t>
      </w:r>
    </w:p>
    <w:p w:rsidR="0017725C" w:rsidRDefault="009B651C">
      <w:pPr>
        <w:spacing w:after="0" w:line="259" w:lineRule="auto"/>
        <w:ind w:left="0" w:right="0" w:firstLine="0"/>
      </w:pPr>
      <w:r>
        <w:t xml:space="preserve"> </w:t>
      </w:r>
    </w:p>
    <w:p w:rsidR="0017725C" w:rsidRDefault="009B651C">
      <w:pPr>
        <w:tabs>
          <w:tab w:val="center" w:pos="386"/>
          <w:tab w:val="center" w:pos="2128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3.0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RESPONSIBILITIES: </w:t>
      </w:r>
    </w:p>
    <w:p w:rsidR="0017725C" w:rsidRDefault="009B651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17725C" w:rsidRDefault="009B651C">
      <w:pPr>
        <w:numPr>
          <w:ilvl w:val="0"/>
          <w:numId w:val="1"/>
        </w:numPr>
        <w:ind w:hanging="360"/>
      </w:pPr>
      <w:r>
        <w:t>Serve as a forum to gather and address laboratory safety concerns, and to keep the LSUHSC community informed of new or proposed changes to laboratory safety regulations.</w:t>
      </w:r>
      <w:r>
        <w:rPr>
          <w:sz w:val="26"/>
        </w:rPr>
        <w:t xml:space="preserve"> </w:t>
      </w:r>
    </w:p>
    <w:p w:rsidR="0017725C" w:rsidRDefault="009B651C">
      <w:pPr>
        <w:numPr>
          <w:ilvl w:val="0"/>
          <w:numId w:val="1"/>
        </w:numPr>
        <w:ind w:hanging="360"/>
      </w:pPr>
      <w:r>
        <w:t xml:space="preserve">Review safety/health policies and training established by the University pertaining to laboratory safety not within the purview of the Institutional </w:t>
      </w:r>
      <w:r w:rsidR="0075587E">
        <w:t>Biosafety</w:t>
      </w:r>
      <w:r>
        <w:t xml:space="preserve"> and Radiation Safety Committees. </w:t>
      </w:r>
    </w:p>
    <w:p w:rsidR="0017725C" w:rsidRDefault="009B651C">
      <w:pPr>
        <w:numPr>
          <w:ilvl w:val="0"/>
          <w:numId w:val="1"/>
        </w:numPr>
        <w:ind w:hanging="360"/>
      </w:pPr>
      <w:r>
        <w:t xml:space="preserve">Review incidents involving work-related fatalities, injuries, illnesses and near misses related to laboratory safety. </w:t>
      </w:r>
    </w:p>
    <w:p w:rsidR="0017725C" w:rsidRDefault="009B651C">
      <w:pPr>
        <w:numPr>
          <w:ilvl w:val="0"/>
          <w:numId w:val="1"/>
        </w:numPr>
        <w:ind w:hanging="360"/>
      </w:pPr>
      <w:r>
        <w:t xml:space="preserve">Review summary reports from Environmental Health and Safety laboratory inspections and make recommendations to improve compliance. </w:t>
      </w:r>
    </w:p>
    <w:p w:rsidR="0017725C" w:rsidRDefault="009B651C">
      <w:pPr>
        <w:spacing w:after="141" w:line="259" w:lineRule="auto"/>
        <w:ind w:left="1320" w:right="0" w:firstLine="0"/>
      </w:pPr>
      <w:r>
        <w:rPr>
          <w:sz w:val="26"/>
        </w:rPr>
        <w:t xml:space="preserve"> </w:t>
      </w:r>
    </w:p>
    <w:p w:rsidR="0017725C" w:rsidRDefault="009B651C">
      <w:pPr>
        <w:tabs>
          <w:tab w:val="center" w:pos="385"/>
          <w:tab w:val="center" w:pos="1794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4.0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MEMBERSHIP </w:t>
      </w:r>
    </w:p>
    <w:p w:rsidR="0017725C" w:rsidRDefault="009B651C">
      <w:pPr>
        <w:spacing w:after="28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17725C" w:rsidRDefault="009B651C">
      <w:pPr>
        <w:numPr>
          <w:ilvl w:val="0"/>
          <w:numId w:val="1"/>
        </w:numPr>
        <w:ind w:hanging="360"/>
      </w:pPr>
      <w:r>
        <w:t xml:space="preserve">Executive Director, Office of Research Services, Chairperson </w:t>
      </w:r>
    </w:p>
    <w:p w:rsidR="0017725C" w:rsidRDefault="009B651C">
      <w:pPr>
        <w:numPr>
          <w:ilvl w:val="0"/>
          <w:numId w:val="1"/>
        </w:numPr>
        <w:ind w:hanging="360"/>
      </w:pPr>
      <w:r>
        <w:t xml:space="preserve">Associate Dean of Research, School of Medicine </w:t>
      </w:r>
    </w:p>
    <w:p w:rsidR="0017725C" w:rsidRDefault="009B651C">
      <w:pPr>
        <w:numPr>
          <w:ilvl w:val="0"/>
          <w:numId w:val="1"/>
        </w:numPr>
        <w:ind w:hanging="360"/>
      </w:pPr>
      <w:r>
        <w:t xml:space="preserve">Associate Dean of Research, School of Dentistry </w:t>
      </w:r>
    </w:p>
    <w:p w:rsidR="0017725C" w:rsidRDefault="009B651C">
      <w:pPr>
        <w:numPr>
          <w:ilvl w:val="0"/>
          <w:numId w:val="1"/>
        </w:numPr>
        <w:ind w:hanging="360"/>
      </w:pPr>
      <w:r>
        <w:t xml:space="preserve">Executive Director, Environmental Health and Safety </w:t>
      </w:r>
    </w:p>
    <w:p w:rsidR="0017725C" w:rsidRDefault="009B651C">
      <w:pPr>
        <w:numPr>
          <w:ilvl w:val="0"/>
          <w:numId w:val="1"/>
        </w:numPr>
        <w:ind w:hanging="360"/>
      </w:pPr>
      <w:r>
        <w:t xml:space="preserve">Chemical and Biological Safety Officer, Environmental Health and Safety </w:t>
      </w:r>
    </w:p>
    <w:p w:rsidR="0017725C" w:rsidRDefault="009B651C">
      <w:pPr>
        <w:spacing w:after="0" w:line="254" w:lineRule="auto"/>
        <w:ind w:left="0" w:right="9038" w:firstLine="0"/>
      </w:pPr>
      <w:r>
        <w:t xml:space="preserve">    </w:t>
      </w:r>
    </w:p>
    <w:p w:rsidR="0017725C" w:rsidRDefault="009B651C">
      <w:pPr>
        <w:spacing w:after="0" w:line="259" w:lineRule="auto"/>
        <w:ind w:left="0" w:right="5303" w:firstLine="0"/>
      </w:pPr>
      <w:r>
        <w:rPr>
          <w:sz w:val="20"/>
        </w:rPr>
        <w:lastRenderedPageBreak/>
        <w:t xml:space="preserve"> </w:t>
      </w:r>
    </w:p>
    <w:p w:rsidR="0017725C" w:rsidRDefault="009B651C">
      <w:pPr>
        <w:spacing w:after="0" w:line="259" w:lineRule="auto"/>
        <w:ind w:left="94" w:right="0" w:firstLine="0"/>
      </w:pPr>
      <w:r>
        <w:rPr>
          <w:noProof/>
        </w:rPr>
        <w:drawing>
          <wp:inline distT="0" distB="0" distL="0" distR="0">
            <wp:extent cx="2350105" cy="580390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0105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725C" w:rsidRDefault="009B651C">
      <w:pPr>
        <w:spacing w:after="180" w:line="259" w:lineRule="auto"/>
        <w:ind w:left="0" w:right="5303" w:firstLine="0"/>
      </w:pPr>
      <w:r>
        <w:t xml:space="preserve"> </w:t>
      </w:r>
    </w:p>
    <w:p w:rsidR="0017725C" w:rsidRDefault="009B651C">
      <w:pPr>
        <w:tabs>
          <w:tab w:val="center" w:pos="390"/>
          <w:tab w:val="center" w:pos="2487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5.0 </w:t>
      </w:r>
      <w:r>
        <w:rPr>
          <w:b/>
        </w:rPr>
        <w:tab/>
        <w:t xml:space="preserve">MEETINGS AND MINUTES </w:t>
      </w:r>
    </w:p>
    <w:p w:rsidR="0017725C" w:rsidRDefault="009B651C">
      <w:pPr>
        <w:ind w:left="955" w:right="0"/>
      </w:pPr>
      <w:r>
        <w:t xml:space="preserve">The committee will meet no less than twice annually. Meeting minutes will be maintained by Environmental Health and Safety for a minimum of six years and will include: </w:t>
      </w:r>
    </w:p>
    <w:p w:rsidR="0017725C" w:rsidRDefault="009B651C">
      <w:pPr>
        <w:numPr>
          <w:ilvl w:val="0"/>
          <w:numId w:val="1"/>
        </w:numPr>
        <w:ind w:hanging="360"/>
      </w:pPr>
      <w:r>
        <w:t xml:space="preserve">Date, time, and location of meeting. </w:t>
      </w:r>
    </w:p>
    <w:p w:rsidR="0017725C" w:rsidRDefault="009B651C">
      <w:pPr>
        <w:numPr>
          <w:ilvl w:val="0"/>
          <w:numId w:val="1"/>
        </w:numPr>
        <w:ind w:hanging="360"/>
      </w:pPr>
      <w:r>
        <w:t xml:space="preserve">Members present. </w:t>
      </w:r>
    </w:p>
    <w:p w:rsidR="0017725C" w:rsidRDefault="009B651C">
      <w:pPr>
        <w:numPr>
          <w:ilvl w:val="0"/>
          <w:numId w:val="1"/>
        </w:numPr>
        <w:ind w:hanging="360"/>
      </w:pPr>
      <w:r>
        <w:t xml:space="preserve">Report of actions taken as a result of previous meetings. </w:t>
      </w:r>
    </w:p>
    <w:p w:rsidR="0017725C" w:rsidRDefault="009B651C">
      <w:pPr>
        <w:numPr>
          <w:ilvl w:val="0"/>
          <w:numId w:val="1"/>
        </w:numPr>
        <w:spacing w:after="125"/>
        <w:ind w:hanging="360"/>
      </w:pPr>
      <w:r>
        <w:t xml:space="preserve">Summary of deliberations and discussions, and recommended action items.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New business. </w:t>
      </w:r>
    </w:p>
    <w:p w:rsidR="0017725C" w:rsidRDefault="009B651C">
      <w:pPr>
        <w:spacing w:after="0" w:line="259" w:lineRule="auto"/>
        <w:ind w:left="0" w:right="0" w:firstLine="0"/>
      </w:pPr>
      <w:r>
        <w:rPr>
          <w:sz w:val="41"/>
        </w:rPr>
        <w:t xml:space="preserve"> </w:t>
      </w:r>
    </w:p>
    <w:p w:rsidR="0017725C" w:rsidRDefault="009B651C">
      <w:pPr>
        <w:spacing w:after="0" w:line="259" w:lineRule="auto"/>
        <w:ind w:left="240" w:right="0" w:firstLine="0"/>
      </w:pPr>
      <w:r>
        <w:rPr>
          <w:b/>
        </w:rPr>
        <w:t xml:space="preserve"> </w:t>
      </w:r>
    </w:p>
    <w:sectPr w:rsidR="0017725C">
      <w:pgSz w:w="12240" w:h="15840"/>
      <w:pgMar w:top="614" w:right="1582" w:bottom="442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A3527"/>
    <w:multiLevelType w:val="hybridMultilevel"/>
    <w:tmpl w:val="B9BC16B6"/>
    <w:lvl w:ilvl="0" w:tplc="B6F2D58A">
      <w:start w:val="1"/>
      <w:numFmt w:val="bullet"/>
      <w:lvlText w:val="•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6CCE2">
      <w:start w:val="1"/>
      <w:numFmt w:val="bullet"/>
      <w:lvlText w:val="o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0A5488">
      <w:start w:val="1"/>
      <w:numFmt w:val="bullet"/>
      <w:lvlText w:val="▪"/>
      <w:lvlJc w:val="left"/>
      <w:pPr>
        <w:ind w:left="2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BA36B2">
      <w:start w:val="1"/>
      <w:numFmt w:val="bullet"/>
      <w:lvlText w:val="•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2E0F46">
      <w:start w:val="1"/>
      <w:numFmt w:val="bullet"/>
      <w:lvlText w:val="o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AE01A">
      <w:start w:val="1"/>
      <w:numFmt w:val="bullet"/>
      <w:lvlText w:val="▪"/>
      <w:lvlJc w:val="left"/>
      <w:pPr>
        <w:ind w:left="4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8C078">
      <w:start w:val="1"/>
      <w:numFmt w:val="bullet"/>
      <w:lvlText w:val="•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32EBF8">
      <w:start w:val="1"/>
      <w:numFmt w:val="bullet"/>
      <w:lvlText w:val="o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EEEBD0">
      <w:start w:val="1"/>
      <w:numFmt w:val="bullet"/>
      <w:lvlText w:val="▪"/>
      <w:lvlJc w:val="left"/>
      <w:pPr>
        <w:ind w:left="7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7745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25C"/>
    <w:rsid w:val="0017725C"/>
    <w:rsid w:val="00430C53"/>
    <w:rsid w:val="0075587E"/>
    <w:rsid w:val="009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F30AD1-0535-4433-A368-5B6190F2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9" w:lineRule="auto"/>
      <w:ind w:left="968" w:right="12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Machine Guarding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Safety Committee Charter</dc:title>
  <dc:subject/>
  <dc:creator>itudma</dc:creator>
  <cp:keywords/>
  <cp:lastModifiedBy>Burkett, Darren J.</cp:lastModifiedBy>
  <cp:revision>3</cp:revision>
  <dcterms:created xsi:type="dcterms:W3CDTF">2021-10-28T18:21:00Z</dcterms:created>
  <dcterms:modified xsi:type="dcterms:W3CDTF">2023-02-06T17:56:00Z</dcterms:modified>
</cp:coreProperties>
</file>